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4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666666"/>
          <w:spacing w:val="0"/>
          <w:sz w:val="17"/>
          <w:szCs w:val="17"/>
        </w:rPr>
      </w:pPr>
      <w:bookmarkStart w:id="0" w:name="_GoBack"/>
      <w:r>
        <w:rPr>
          <w:rFonts w:ascii="黑体" w:hAnsi="宋体" w:eastAsia="黑体" w:cs="黑体"/>
          <w:i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  <w:t>招聘岗位及基本要求</w:t>
      </w:r>
      <w:bookmarkEnd w:id="0"/>
    </w:p>
    <w:tbl>
      <w:tblPr>
        <w:tblW w:w="95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9"/>
        <w:gridCol w:w="1399"/>
        <w:gridCol w:w="887"/>
        <w:gridCol w:w="5097"/>
        <w:gridCol w:w="15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8" w:hRule="atLeast"/>
        </w:trPr>
        <w:tc>
          <w:tcPr>
            <w:tcW w:w="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13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岗位名称</w:t>
            </w:r>
          </w:p>
        </w:tc>
        <w:tc>
          <w:tcPr>
            <w:tcW w:w="8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招聘数量</w:t>
            </w:r>
          </w:p>
        </w:tc>
        <w:tc>
          <w:tcPr>
            <w:tcW w:w="50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专业要求</w:t>
            </w:r>
          </w:p>
        </w:tc>
        <w:tc>
          <w:tcPr>
            <w:tcW w:w="15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20" w:hRule="atLeast"/>
        </w:trPr>
        <w:tc>
          <w:tcPr>
            <w:tcW w:w="6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儿科初级医师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 w:bidi="ar"/>
              </w:rPr>
              <w:t>2名</w:t>
            </w:r>
          </w:p>
        </w:tc>
        <w:tc>
          <w:tcPr>
            <w:tcW w:w="5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 w:bidi="ar"/>
              </w:rPr>
              <w:t>本科及以上学历，临床医学专业毕业，已经完成儿科专业规培者、有相关工作经验者优先考虑。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 w:bidi="ar"/>
              </w:rPr>
              <w:t>含2019年应届硕士毕业生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6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儿科主治医师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 w:bidi="ar"/>
              </w:rPr>
              <w:t>2名</w:t>
            </w:r>
          </w:p>
        </w:tc>
        <w:tc>
          <w:tcPr>
            <w:tcW w:w="5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 w:bidi="ar"/>
              </w:rPr>
              <w:t>本科及以上学历，具有儿科专业中级及以上职称，40岁以下。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3C4144"/>
    <w:rsid w:val="573C41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2019-03-07T01:26:00Z</dcterms:created>
  <dc:creator>ASUS</dc:creator>
  <cp:lastModifiedBy>ASUS</cp:lastModifiedBy>
  <dcterms:modified xsi:type="dcterms:W3CDTF">2019-03-07T01:26:25Z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