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666666"/>
          <w:spacing w:val="0"/>
          <w:sz w:val="31"/>
          <w:szCs w:val="31"/>
          <w:u w:val="none"/>
          <w:bdr w:val="none" w:color="auto" w:sz="0" w:space="0"/>
          <w:shd w:val="clear" w:fill="FFFFFF"/>
        </w:rPr>
        <w:t>招聘岗位及要求：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6"/>
        <w:gridCol w:w="1158"/>
        <w:gridCol w:w="1179"/>
        <w:gridCol w:w="1034"/>
        <w:gridCol w:w="2544"/>
        <w:gridCol w:w="4302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岗位要求</w:t>
            </w:r>
          </w:p>
        </w:tc>
        <w:tc>
          <w:tcPr>
            <w:tcW w:w="31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工作职责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运动队干事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体育或管理相关专业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40岁以下，热爱体育，有1年以上运动队经历，能够长期跟队，男士优先。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1.协助主教练做好训练管理工作，重点关注重点运动员情况、梯队建设情况，并及时上报；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2.协助领队做好运动队日常管理工作，及时反馈队伍情况；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3.协助主教练和领队做好总结、考核、计划等工作。配合主教练对运动员数据进行汇总、分析；配合领队做好训练和比赛期间各项计划安排和手续办理；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4.协助主教练和队医做好反兴奋剂工作，随时申报运动员行踪变更情况，严格把控、监督运动员日常就餐、用药情况等工作。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本次招聘岗位用工形式为劳务派遣，薪资最低不低于6000元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队医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（康复师）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医学、康复相关专业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能够熟练掌握按摩、推拿、放松和运动伤病处理，40岁以下，能够长期跟队，男女不限。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1.伤前的保护及营养的补给（包括运动饮料的配备）。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2.伤后的处理和治疗。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3.与治疗同步进行的康复训练及心理疏导等工作。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本次招聘岗位用工形式为劳务派遣，薪资最低不低于6000元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体能教练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运动训练或身体功能训练相关专业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热爱体育，能够长期跟队，男士优先。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1.运动员基础体能训练。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2.运动员专项体能训练。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3.训练后疲劳恢复与再生技术。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4.体能训练计划制定与实施等工作。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本次招聘岗位用工形式为劳务派遣，薪资最低不低于6000元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科研人员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运动人体科学、运动生物力学或相关专业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熟练掌握运动科研仪器使用及分析方法，能够长期跟队，男女不限。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1.生理生化指标检测与分析。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2.科研方案制定等工作。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本次招聘岗位用工形式为劳务派遣，薪资最低不低于6000元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65A1E"/>
    <w:rsid w:val="5396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2020-10-28T08:30:00Z</dcterms:created>
  <dc:creator>Administrator</dc:creator>
  <cp:lastModifiedBy>Administrator</cp:lastModifiedBy>
  <dcterms:modified xsi:type="dcterms:W3CDTF">2020-10-28T09:28:32Z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