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EFCB"/>
        <w:spacing w:line="351" w:lineRule="atLeast"/>
        <w:ind w:left="0" w:firstLine="538"/>
        <w:rPr>
          <w:rFonts w:ascii="Arial" w:hAnsi="Arial" w:cs="Arial"/>
          <w:i w:val="0"/>
          <w:caps w:val="0"/>
          <w:color w:val="000000"/>
          <w:spacing w:val="0"/>
          <w:sz w:val="17"/>
          <w:szCs w:val="17"/>
        </w:rPr>
      </w:pPr>
      <w:bookmarkStart w:id="0" w:name="_GoBack"/>
      <w:r>
        <w:rPr>
          <w:rFonts w:ascii="黑体" w:hAnsi="宋体" w:eastAsia="黑体" w:cs="黑体"/>
          <w:i w:val="0"/>
          <w:caps w:val="0"/>
          <w:color w:val="000000"/>
          <w:spacing w:val="0"/>
          <w:sz w:val="26"/>
          <w:szCs w:val="26"/>
          <w:shd w:val="clear" w:fill="FFEFCB"/>
        </w:rPr>
        <w:t>招聘岗位、数量及资格条件</w:t>
      </w:r>
    </w:p>
    <w:bookmarkEnd w:id="0"/>
    <w:tbl>
      <w:tblPr>
        <w:tblW w:w="0" w:type="auto"/>
        <w:jc w:val="center"/>
        <w:tblCellSpacing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EFCB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39"/>
        <w:gridCol w:w="1139"/>
        <w:gridCol w:w="1114"/>
        <w:gridCol w:w="1891"/>
        <w:gridCol w:w="739"/>
        <w:gridCol w:w="989"/>
        <w:gridCol w:w="11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EFCB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tblCellSpacing w:w="0" w:type="dxa"/>
          <w:jc w:val="center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学段</w:t>
            </w: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招聘岗位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招聘人数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专业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学历</w:t>
            </w: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资格条件</w:t>
            </w: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ind w:left="0" w:firstLine="10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EFCB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ascii="仿宋_GB2312" w:hAnsi="Arial" w:eastAsia="仿宋_GB2312" w:cs="仿宋_GB2312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中学</w:t>
            </w: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汉语言文学、汉语言、汉语国际教育</w:t>
            </w:r>
          </w:p>
        </w:tc>
        <w:tc>
          <w:tcPr>
            <w:tcW w:w="7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全日制普通类高等院校本科及以上学历</w:t>
            </w:r>
          </w:p>
        </w:tc>
        <w:tc>
          <w:tcPr>
            <w:tcW w:w="9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具有中学及以上与岗位学科一致的教师资格证</w:t>
            </w:r>
          </w:p>
        </w:tc>
        <w:tc>
          <w:tcPr>
            <w:tcW w:w="11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具有二级乙等及以上普通话水平等级证书（语文教师要求二级甲等及以上）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EFCB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数学与应用数学</w:t>
            </w:r>
          </w:p>
        </w:tc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1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EFCB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英语、英语教育</w:t>
            </w:r>
          </w:p>
        </w:tc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1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EFCB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  <w:tblCellSpacing w:w="0" w:type="dxa"/>
          <w:jc w:val="center"/>
        </w:trPr>
        <w:tc>
          <w:tcPr>
            <w:tcW w:w="6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物理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物理学、物理教育学、应用物理学</w:t>
            </w:r>
          </w:p>
        </w:tc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1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EFCB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政治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思想政治教育</w:t>
            </w:r>
          </w:p>
        </w:tc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1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EFCB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历史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历史学、世界史</w:t>
            </w:r>
          </w:p>
        </w:tc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1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EFCB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生物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生物科学</w:t>
            </w:r>
          </w:p>
        </w:tc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1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EFCB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地理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地理科学、地理信息科学</w:t>
            </w:r>
          </w:p>
        </w:tc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1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EFCB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汉语言文学、汉语言、汉语国际教育、学科教学（语文）、小学教育</w:t>
            </w:r>
          </w:p>
        </w:tc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9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具有小学及以上与岗位学科一致的教师资格证(报考科学岗位的须持有小学科学或物理、化学教师资格证)</w:t>
            </w:r>
          </w:p>
        </w:tc>
        <w:tc>
          <w:tcPr>
            <w:tcW w:w="11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EFCB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数学与应用数学、学科教学（数学）、小学教育</w:t>
            </w:r>
          </w:p>
        </w:tc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1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EFCB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英语、英语教育、小学教育</w:t>
            </w:r>
          </w:p>
        </w:tc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1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EFCB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音乐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音乐学、音乐表演</w:t>
            </w:r>
          </w:p>
        </w:tc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1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EFCB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美术学、绘画、中国画</w:t>
            </w:r>
          </w:p>
        </w:tc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1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EFCB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体育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体育教育、运动训练</w:t>
            </w:r>
          </w:p>
        </w:tc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1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EFCB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科学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物理学、物理教育学、应用物理学、化学、化学教育、应用化学</w:t>
            </w:r>
          </w:p>
        </w:tc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1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EB1DFE"/>
    <w:rsid w:val="2DEB1DF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2020-08-17T07:12:00Z</dcterms:created>
  <dc:creator>ASUS</dc:creator>
  <cp:lastModifiedBy>ASUS</cp:lastModifiedBy>
  <dcterms:modified xsi:type="dcterms:W3CDTF">2020-08-17T07:12:23Z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