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ascii="Times New Roman" w:hAnsi="Times New Roman" w:eastAsia="方正仿宋简体" w:cs="Times New Roman"/>
          <w:sz w:val="32"/>
          <w:szCs w:val="32"/>
          <w:highlight w:val="none"/>
        </w:rPr>
      </w:pPr>
      <w:bookmarkStart w:id="0" w:name="_GoBack"/>
      <w:bookmarkEnd w:id="0"/>
      <w:r>
        <w:rPr>
          <w:rFonts w:ascii="Times New Roman" w:hAnsi="Times New Roman" w:eastAsia="方正仿宋简体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</w:rPr>
        <w:t>7</w:t>
      </w:r>
    </w:p>
    <w:p>
      <w:pPr>
        <w:overflowPunct w:val="0"/>
        <w:rPr>
          <w:sz w:val="32"/>
          <w:szCs w:val="32"/>
          <w:highlight w:val="none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“双一流”建设高校名单</w:t>
      </w:r>
    </w:p>
    <w:p>
      <w:pPr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highlight w:val="none"/>
        </w:rPr>
        <w:t>（按学校代码排序）</w:t>
      </w:r>
    </w:p>
    <w:p>
      <w:pPr>
        <w:overflowPunct w:val="0"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  <w:highlight w:val="none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一、一流大学建设高校42所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kern w:val="0"/>
          <w:sz w:val="32"/>
          <w:szCs w:val="32"/>
          <w:highlight w:val="none"/>
        </w:rPr>
        <w:t>1. A类36所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highlight w:val="none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kern w:val="0"/>
          <w:sz w:val="32"/>
          <w:szCs w:val="32"/>
          <w:highlight w:val="none"/>
        </w:rPr>
        <w:t>2. B类6所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highlight w:val="none"/>
        </w:rPr>
        <w:t>东北大学、郑州大学、湖南大学、云南大学、西北农林科技大学、新疆大学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二、一流学科建设高校95所</w:t>
      </w:r>
    </w:p>
    <w:p>
      <w:pPr>
        <w:overflowPunct w:val="0"/>
        <w:spacing w:line="56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582"/>
    <w:rsid w:val="003F7D2D"/>
    <w:rsid w:val="00413379"/>
    <w:rsid w:val="005225A2"/>
    <w:rsid w:val="00672E2A"/>
    <w:rsid w:val="007F2EC1"/>
    <w:rsid w:val="00D12582"/>
    <w:rsid w:val="25982E7C"/>
    <w:rsid w:val="46D75F82"/>
    <w:rsid w:val="6D31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825</Characters>
  <Lines>6</Lines>
  <Paragraphs>1</Paragraphs>
  <TotalTime>5</TotalTime>
  <ScaleCrop>false</ScaleCrop>
  <LinksUpToDate>false</LinksUpToDate>
  <CharactersWithSpaces>968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ぺ灬cc果冻ル</cp:lastModifiedBy>
  <dcterms:modified xsi:type="dcterms:W3CDTF">2020-05-27T02:56:47Z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